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369D" w14:textId="77777777" w:rsidR="00E33FDF" w:rsidRDefault="00E33FDF" w:rsidP="00E33FDF">
      <w:r>
        <w:t>Carlisle Community Choice Aggregation Semi-Annual Report</w:t>
      </w:r>
    </w:p>
    <w:p w14:paraId="56C71A34" w14:textId="5240DD49" w:rsidR="00896D75" w:rsidRDefault="00921258">
      <w:r>
        <w:t xml:space="preserve">Q1 - </w:t>
      </w:r>
      <w:r w:rsidR="00E33FDF">
        <w:t>Q4, 2024</w:t>
      </w:r>
    </w:p>
    <w:p w14:paraId="637B771F" w14:textId="059AF64C" w:rsidR="00E33FDF" w:rsidRDefault="00E33FDF" w:rsidP="00E33FDF">
      <w:r>
        <w:t xml:space="preserve">Prepared by: Sarah Wasserman, Land Use and Sustainability Coordinator </w:t>
      </w:r>
    </w:p>
    <w:p w14:paraId="121C51D1" w14:textId="065335C1" w:rsidR="00E33FDF" w:rsidRDefault="00E33FDF">
      <w:r>
        <w:t>11 April 2025</w:t>
      </w:r>
    </w:p>
    <w:p w14:paraId="05FD86D3" w14:textId="0FBCA18D" w:rsidR="00034811" w:rsidRPr="00CD1478" w:rsidRDefault="00034811">
      <w:pPr>
        <w:rPr>
          <w:u w:val="single"/>
        </w:rPr>
      </w:pPr>
      <w:r>
        <w:t xml:space="preserve"> </w:t>
      </w:r>
      <w:r w:rsidR="00F97171" w:rsidRPr="00CD1478">
        <w:rPr>
          <w:u w:val="single"/>
        </w:rPr>
        <w:t>Key Points:</w:t>
      </w:r>
    </w:p>
    <w:p w14:paraId="20C9908A" w14:textId="0DD0AA97" w:rsidR="00F97171" w:rsidRPr="00F97171" w:rsidRDefault="00F97171" w:rsidP="00F9717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97171">
        <w:rPr>
          <w:sz w:val="22"/>
          <w:szCs w:val="22"/>
        </w:rPr>
        <w:t xml:space="preserve">Enrollment saw slight decreases overall but </w:t>
      </w:r>
      <w:r w:rsidR="00CD1478" w:rsidRPr="00F97171">
        <w:rPr>
          <w:sz w:val="22"/>
          <w:szCs w:val="22"/>
        </w:rPr>
        <w:t>remained</w:t>
      </w:r>
      <w:r w:rsidRPr="00F97171">
        <w:rPr>
          <w:sz w:val="22"/>
          <w:szCs w:val="22"/>
        </w:rPr>
        <w:t xml:space="preserve"> </w:t>
      </w:r>
      <w:r w:rsidR="005A2E91">
        <w:rPr>
          <w:sz w:val="22"/>
          <w:szCs w:val="22"/>
        </w:rPr>
        <w:t>stable</w:t>
      </w:r>
      <w:r w:rsidRPr="00F97171">
        <w:rPr>
          <w:sz w:val="22"/>
          <w:szCs w:val="22"/>
        </w:rPr>
        <w:t xml:space="preserve"> quarter to quarter.</w:t>
      </w:r>
    </w:p>
    <w:p w14:paraId="728B3F7E" w14:textId="6F0B7B55" w:rsidR="00F97171" w:rsidRDefault="00F97171" w:rsidP="00F9717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F97171">
        <w:rPr>
          <w:sz w:val="22"/>
          <w:szCs w:val="22"/>
        </w:rPr>
        <w:t>Fewer residents saw savings</w:t>
      </w:r>
      <w:r w:rsidR="001F3905">
        <w:rPr>
          <w:sz w:val="22"/>
          <w:szCs w:val="22"/>
        </w:rPr>
        <w:t xml:space="preserve"> in Q3 and Q4</w:t>
      </w:r>
      <w:r w:rsidRPr="00F97171">
        <w:rPr>
          <w:sz w:val="22"/>
          <w:szCs w:val="22"/>
        </w:rPr>
        <w:t xml:space="preserve">, compared to those not enrolled. </w:t>
      </w:r>
    </w:p>
    <w:p w14:paraId="5ED3520D" w14:textId="15FB614F" w:rsidR="00986E41" w:rsidRPr="00F97171" w:rsidRDefault="00986E41" w:rsidP="00F9717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Fluctuations in the energy market make it difficult to predict potential future savings. </w:t>
      </w:r>
    </w:p>
    <w:p w14:paraId="12ABDE26" w14:textId="4969C880" w:rsidR="006F783D" w:rsidRDefault="00FA0B8D">
      <w:r>
        <w:t xml:space="preserve">Over the course of the year, the number of meters enrolled in the CCA program stayed relatively static. Both the Standard and Optional Basic pathways saw a </w:t>
      </w:r>
      <w:r w:rsidR="00A620FF">
        <w:t>minor</w:t>
      </w:r>
      <w:r>
        <w:t xml:space="preserve"> decrease in participants, while the Optional Green 100 pathway started and ended with the same number of meters registered.</w:t>
      </w:r>
    </w:p>
    <w:p w14:paraId="38FE49B5" w14:textId="5929B000" w:rsidR="00AB51E7" w:rsidRDefault="003C01DF">
      <w:r>
        <w:t xml:space="preserve">As energy prices have been in flux over the past year, savings were not consistent. In Q3, </w:t>
      </w:r>
      <w:r w:rsidR="007F409A">
        <w:t xml:space="preserve">Eversource Basic Service, which is what non-CCA participants receive, was more competitive than the Standard service option, which is the default for those enrolled. </w:t>
      </w:r>
      <w:r w:rsidR="00AB51E7">
        <w:t xml:space="preserve">The Standard service option remained more expensive through Q4. </w:t>
      </w:r>
      <w:r w:rsidR="00263781">
        <w:t>The only program pathway that retained savings was the Optional Basic service.</w:t>
      </w:r>
      <w:r w:rsidR="005A27D9">
        <w:t xml:space="preserve"> </w:t>
      </w:r>
      <w:r w:rsidR="00AB51E7">
        <w:t>Each pathway provides residents with a percentage of their energy from renewable sources.</w:t>
      </w:r>
      <w:r w:rsidR="005A27D9">
        <w:t xml:space="preserve"> </w:t>
      </w:r>
      <w:r w:rsidR="00AB51E7">
        <w:t xml:space="preserve">Optional Basic has the least amount of renewable energy, meeting the MA requirement of 24% to 27% Class I RECs (Renewable Energy Certificates). </w:t>
      </w:r>
    </w:p>
    <w:p w14:paraId="4BCB5753" w14:textId="31E07FFE" w:rsidR="00680044" w:rsidRDefault="00680044"/>
    <w:p w14:paraId="417EFA66" w14:textId="22C5F38D" w:rsidR="00680044" w:rsidRDefault="00C66A7D">
      <w:r>
        <w:rPr>
          <w:noProof/>
        </w:rPr>
        <w:drawing>
          <wp:anchor distT="0" distB="0" distL="114300" distR="114300" simplePos="0" relativeHeight="251659264" behindDoc="1" locked="0" layoutInCell="1" allowOverlap="1" wp14:anchorId="7B86AF69" wp14:editId="428AE690">
            <wp:simplePos x="0" y="0"/>
            <wp:positionH relativeFrom="column">
              <wp:posOffset>708025</wp:posOffset>
            </wp:positionH>
            <wp:positionV relativeFrom="paragraph">
              <wp:posOffset>3810</wp:posOffset>
            </wp:positionV>
            <wp:extent cx="4412615" cy="2651760"/>
            <wp:effectExtent l="0" t="0" r="6985" b="0"/>
            <wp:wrapSquare wrapText="bothSides"/>
            <wp:docPr id="2049957633" name="Picture 2" descr="A graph of a number of me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57633" name="Picture 2" descr="A graph of a number of me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5DFC0" w14:textId="0D9BF8BF" w:rsidR="00680044" w:rsidRDefault="00680044"/>
    <w:p w14:paraId="5C612739" w14:textId="035D73DB" w:rsidR="00680044" w:rsidRDefault="00680044"/>
    <w:p w14:paraId="7D2D38DC" w14:textId="77777777" w:rsidR="00680044" w:rsidRDefault="00680044"/>
    <w:p w14:paraId="3FAD15F6" w14:textId="77777777" w:rsidR="00680044" w:rsidRDefault="00680044"/>
    <w:p w14:paraId="50C5CEA4" w14:textId="77777777" w:rsidR="00680044" w:rsidRDefault="00680044"/>
    <w:p w14:paraId="2B0BFFC5" w14:textId="77777777" w:rsidR="00680044" w:rsidRDefault="00680044"/>
    <w:p w14:paraId="5BF8E77D" w14:textId="49963FD9" w:rsidR="00C66A7D" w:rsidRDefault="00C66A7D"/>
    <w:p w14:paraId="794B00C5" w14:textId="3017031F" w:rsidR="007F0C5F" w:rsidRDefault="003C1C5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5AF7D0B" wp14:editId="2687554E">
            <wp:simplePos x="0" y="0"/>
            <wp:positionH relativeFrom="margin">
              <wp:posOffset>266700</wp:posOffset>
            </wp:positionH>
            <wp:positionV relativeFrom="paragraph">
              <wp:posOffset>4252595</wp:posOffset>
            </wp:positionV>
            <wp:extent cx="5394960" cy="3317875"/>
            <wp:effectExtent l="0" t="0" r="0" b="0"/>
            <wp:wrapSquare wrapText="bothSides"/>
            <wp:docPr id="4219651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31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7D">
        <w:rPr>
          <w:noProof/>
        </w:rPr>
        <w:drawing>
          <wp:anchor distT="0" distB="0" distL="114300" distR="114300" simplePos="0" relativeHeight="251660288" behindDoc="0" locked="0" layoutInCell="1" allowOverlap="1" wp14:anchorId="0D95D261" wp14:editId="59FD45ED">
            <wp:simplePos x="0" y="0"/>
            <wp:positionH relativeFrom="margin">
              <wp:posOffset>266065</wp:posOffset>
            </wp:positionH>
            <wp:positionV relativeFrom="paragraph">
              <wp:posOffset>0</wp:posOffset>
            </wp:positionV>
            <wp:extent cx="5434965" cy="3017520"/>
            <wp:effectExtent l="0" t="0" r="0" b="0"/>
            <wp:wrapSquare wrapText="bothSides"/>
            <wp:docPr id="2014180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C5F">
        <w:t xml:space="preserve">The previous contract cycle, which ran from 2021-2023, </w:t>
      </w:r>
      <w:r>
        <w:t>benefited</w:t>
      </w:r>
      <w:r w:rsidR="007F0C5F">
        <w:t xml:space="preserve"> from securing the price before energy markets </w:t>
      </w:r>
      <w:r w:rsidR="00F25BCA">
        <w:t>became</w:t>
      </w:r>
      <w:r w:rsidR="007F0C5F">
        <w:t xml:space="preserve"> destabilized</w:t>
      </w:r>
      <w:r w:rsidR="00CD1478">
        <w:t xml:space="preserve"> in early 2022</w:t>
      </w:r>
      <w:r w:rsidR="007F0C5F">
        <w:t xml:space="preserve">. </w:t>
      </w:r>
      <w:r w:rsidR="005265D0">
        <w:t xml:space="preserve">The graph below shows how savings shifted within a </w:t>
      </w:r>
      <w:r w:rsidR="003872F5">
        <w:t>two-year</w:t>
      </w:r>
      <w:r w:rsidR="005265D0">
        <w:t xml:space="preserve"> period during this contract. </w:t>
      </w:r>
      <w:r w:rsidR="007F0C5F">
        <w:t xml:space="preserve">Savings are not guaranteed through CCA programs, so as the market continues to flux, residents may or may not see savings. The </w:t>
      </w:r>
      <w:r w:rsidR="00B11AF5">
        <w:t>strength</w:t>
      </w:r>
      <w:r w:rsidR="007F0C5F">
        <w:t xml:space="preserve"> of the CCA</w:t>
      </w:r>
      <w:r w:rsidR="00B11AF5">
        <w:t xml:space="preserve"> program</w:t>
      </w:r>
      <w:r w:rsidR="007F0C5F">
        <w:t xml:space="preserve"> is its consistency, as the </w:t>
      </w:r>
      <w:r w:rsidR="00F95B1D">
        <w:t>electricity</w:t>
      </w:r>
      <w:r w:rsidR="007F0C5F">
        <w:t xml:space="preserve"> </w:t>
      </w:r>
      <w:r w:rsidR="00F95B1D">
        <w:t>rates</w:t>
      </w:r>
      <w:r w:rsidR="007F0C5F">
        <w:t xml:space="preserve"> will not change until the end of the contract period. </w:t>
      </w:r>
    </w:p>
    <w:p w14:paraId="78EBB615" w14:textId="6EFB0563" w:rsidR="00AB51E7" w:rsidRDefault="00AB51E7"/>
    <w:p w14:paraId="090294A6" w14:textId="5A906694" w:rsidR="00263781" w:rsidRDefault="00263781"/>
    <w:sectPr w:rsidR="00263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72A"/>
    <w:multiLevelType w:val="multilevel"/>
    <w:tmpl w:val="3B4C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361B4"/>
    <w:multiLevelType w:val="hybridMultilevel"/>
    <w:tmpl w:val="DCE255C8"/>
    <w:lvl w:ilvl="0" w:tplc="8A94B39C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636303">
    <w:abstractNumId w:val="0"/>
  </w:num>
  <w:num w:numId="2" w16cid:durableId="117966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DF"/>
    <w:rsid w:val="00034811"/>
    <w:rsid w:val="001F3905"/>
    <w:rsid w:val="00263781"/>
    <w:rsid w:val="002D1FA9"/>
    <w:rsid w:val="003872F5"/>
    <w:rsid w:val="003C01DF"/>
    <w:rsid w:val="003C1C50"/>
    <w:rsid w:val="004E6A6A"/>
    <w:rsid w:val="005265D0"/>
    <w:rsid w:val="005A27D9"/>
    <w:rsid w:val="005A2E91"/>
    <w:rsid w:val="00602798"/>
    <w:rsid w:val="00680044"/>
    <w:rsid w:val="006F783D"/>
    <w:rsid w:val="00774E9A"/>
    <w:rsid w:val="00786C6D"/>
    <w:rsid w:val="007F0C5F"/>
    <w:rsid w:val="007F1320"/>
    <w:rsid w:val="007F409A"/>
    <w:rsid w:val="00896D75"/>
    <w:rsid w:val="00921258"/>
    <w:rsid w:val="00986E41"/>
    <w:rsid w:val="00A620FF"/>
    <w:rsid w:val="00AB51E7"/>
    <w:rsid w:val="00B11AF5"/>
    <w:rsid w:val="00B261B9"/>
    <w:rsid w:val="00C1329A"/>
    <w:rsid w:val="00C66A7D"/>
    <w:rsid w:val="00CD1478"/>
    <w:rsid w:val="00E33FDF"/>
    <w:rsid w:val="00F0612F"/>
    <w:rsid w:val="00F25BCA"/>
    <w:rsid w:val="00F95B1D"/>
    <w:rsid w:val="00F97171"/>
    <w:rsid w:val="00F97B7B"/>
    <w:rsid w:val="00FA0B8D"/>
    <w:rsid w:val="00FA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D0A4"/>
  <w15:chartTrackingRefBased/>
  <w15:docId w15:val="{E9A2614C-82D9-4A86-9D63-ECD23A3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FD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F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D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3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D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3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Wasserman</dc:creator>
  <cp:keywords/>
  <dc:description/>
  <cp:lastModifiedBy>Sarah Wasserman</cp:lastModifiedBy>
  <cp:revision>30</cp:revision>
  <dcterms:created xsi:type="dcterms:W3CDTF">2025-04-11T18:17:00Z</dcterms:created>
  <dcterms:modified xsi:type="dcterms:W3CDTF">2025-04-15T13:19:00Z</dcterms:modified>
</cp:coreProperties>
</file>